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2C" w:rsidRPr="00DF1665" w:rsidRDefault="00DF1665" w:rsidP="00DF1665">
      <w:pPr>
        <w:rPr>
          <w:b/>
        </w:rPr>
      </w:pPr>
      <w:r w:rsidRPr="00DF1665">
        <w:rPr>
          <w:b/>
        </w:rPr>
        <w:t>Literatuurlijst</w:t>
      </w:r>
      <w:r>
        <w:rPr>
          <w:b/>
        </w:rPr>
        <w:t xml:space="preserve"> Pijn en het brein</w:t>
      </w:r>
      <w:bookmarkStart w:id="0" w:name="_GoBack"/>
      <w:bookmarkEnd w:id="0"/>
    </w:p>
    <w:p w:rsidR="00DF1665" w:rsidRDefault="00DF1665" w:rsidP="00DF1665"/>
    <w:p w:rsidR="00DF1665" w:rsidRPr="00290366" w:rsidRDefault="00DF1665" w:rsidP="00DF1665">
      <w:p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b/>
          <w:bCs/>
          <w:color w:val="000000" w:themeColor="text1"/>
          <w:lang w:eastAsia="nl-NL"/>
        </w:rPr>
        <w:t>Verklaringsmodellen medisch onvoldoende verklaarde chronische pijn:</w:t>
      </w:r>
    </w:p>
    <w:p w:rsidR="00DF1665" w:rsidRPr="00290366" w:rsidRDefault="00DF1665" w:rsidP="00DF1665">
      <w:p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color w:val="000000" w:themeColor="text1"/>
          <w:lang w:eastAsia="nl-NL"/>
        </w:rPr>
        <w:t>Neurobiologie van centrale sensitisatie (</w:t>
      </w:r>
      <w:proofErr w:type="spellStart"/>
      <w:r w:rsidRPr="00290366">
        <w:rPr>
          <w:rFonts w:cstheme="minorHAnsi"/>
          <w:color w:val="000000" w:themeColor="text1"/>
          <w:lang w:eastAsia="nl-NL"/>
        </w:rPr>
        <w:t>instandhoudend</w:t>
      </w:r>
      <w:proofErr w:type="spellEnd"/>
      <w:r w:rsidRPr="00290366">
        <w:rPr>
          <w:rFonts w:cstheme="minorHAnsi"/>
          <w:color w:val="000000" w:themeColor="text1"/>
          <w:lang w:eastAsia="nl-NL"/>
        </w:rPr>
        <w:t>)</w:t>
      </w:r>
    </w:p>
    <w:p w:rsidR="00DF1665" w:rsidRPr="00290366" w:rsidRDefault="00DF1665" w:rsidP="00DF1665">
      <w:pPr>
        <w:numPr>
          <w:ilvl w:val="0"/>
          <w:numId w:val="1"/>
        </w:numPr>
        <w:rPr>
          <w:rFonts w:cstheme="minorHAnsi"/>
          <w:color w:val="000000" w:themeColor="text1"/>
          <w:lang w:eastAsia="nl-NL"/>
        </w:rPr>
      </w:pPr>
      <w:proofErr w:type="spellStart"/>
      <w:r w:rsidRPr="00290366">
        <w:rPr>
          <w:rFonts w:cstheme="minorHAnsi"/>
          <w:color w:val="000000" w:themeColor="text1"/>
          <w:lang w:val="en-US" w:eastAsia="nl-NL"/>
        </w:rPr>
        <w:t>Louw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A (2),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Zimney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K,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Puentedura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EJ, Diener I. The efficacy of pain neuroscience education on musculoskeletal pain: A systematic review of the literature.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Physiother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Theory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Pract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>. 2016 Jul;32(5):332-55.</w:t>
      </w:r>
    </w:p>
    <w:p w:rsidR="00DF1665" w:rsidRPr="00290366" w:rsidRDefault="00DF1665" w:rsidP="00DF1665">
      <w:pPr>
        <w:numPr>
          <w:ilvl w:val="0"/>
          <w:numId w:val="1"/>
        </w:numPr>
        <w:rPr>
          <w:rFonts w:cstheme="minorHAnsi"/>
          <w:color w:val="000000" w:themeColor="text1"/>
          <w:lang w:eastAsia="nl-NL"/>
        </w:rPr>
      </w:pPr>
      <w:proofErr w:type="spellStart"/>
      <w:r w:rsidRPr="00290366">
        <w:rPr>
          <w:rFonts w:cstheme="minorHAnsi"/>
          <w:color w:val="000000" w:themeColor="text1"/>
          <w:lang w:val="en-US" w:eastAsia="nl-NL"/>
        </w:rPr>
        <w:t>Wijma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AJ, van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Wilgen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CP,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Meeus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M,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Nijs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J. Clinical biopsychosocial physiotherapy assessment of patients with chronic pain: The first step in pain neuroscience education.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Physiother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Theory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Pract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>. 2016 Jul;32(5):368-84.</w:t>
      </w:r>
    </w:p>
    <w:p w:rsidR="00DF1665" w:rsidRPr="00290366" w:rsidRDefault="00DF1665" w:rsidP="00DF1665">
      <w:p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i/>
          <w:iCs/>
          <w:color w:val="000000" w:themeColor="text1"/>
          <w:lang w:val="en-GB" w:eastAsia="nl-NL"/>
        </w:rPr>
        <w:tab/>
      </w:r>
      <w:proofErr w:type="spellStart"/>
      <w:r w:rsidRPr="00290366">
        <w:rPr>
          <w:rFonts w:cstheme="minorHAnsi"/>
          <w:i/>
          <w:iCs/>
          <w:color w:val="000000" w:themeColor="text1"/>
          <w:lang w:val="en-GB" w:eastAsia="nl-NL"/>
        </w:rPr>
        <w:t>Verder</w:t>
      </w:r>
      <w:proofErr w:type="spellEnd"/>
      <w:r w:rsidRPr="00290366">
        <w:rPr>
          <w:rFonts w:cstheme="minorHAnsi"/>
          <w:i/>
          <w:iCs/>
          <w:color w:val="000000" w:themeColor="text1"/>
          <w:lang w:val="en-GB" w:eastAsia="nl-NL"/>
        </w:rPr>
        <w:t xml:space="preserve"> </w:t>
      </w:r>
      <w:proofErr w:type="spellStart"/>
      <w:r w:rsidRPr="00290366">
        <w:rPr>
          <w:rFonts w:cstheme="minorHAnsi"/>
          <w:i/>
          <w:iCs/>
          <w:color w:val="000000" w:themeColor="text1"/>
          <w:lang w:val="en-GB" w:eastAsia="nl-NL"/>
        </w:rPr>
        <w:t>o.a</w:t>
      </w:r>
      <w:proofErr w:type="spellEnd"/>
      <w:r w:rsidRPr="00290366">
        <w:rPr>
          <w:rFonts w:cstheme="minorHAnsi"/>
          <w:i/>
          <w:iCs/>
          <w:color w:val="000000" w:themeColor="text1"/>
          <w:lang w:val="en-GB" w:eastAsia="nl-NL"/>
        </w:rPr>
        <w:t>.:</w:t>
      </w:r>
    </w:p>
    <w:p w:rsidR="00DF1665" w:rsidRPr="00290366" w:rsidRDefault="00DF1665" w:rsidP="00DF1665">
      <w:pPr>
        <w:numPr>
          <w:ilvl w:val="0"/>
          <w:numId w:val="2"/>
        </w:num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color w:val="000000" w:themeColor="text1"/>
          <w:lang w:eastAsia="nl-NL"/>
        </w:rPr>
        <w:t xml:space="preserve">Van </w:t>
      </w:r>
      <w:proofErr w:type="spellStart"/>
      <w:r w:rsidRPr="00290366">
        <w:rPr>
          <w:rFonts w:cstheme="minorHAnsi"/>
          <w:color w:val="000000" w:themeColor="text1"/>
          <w:lang w:eastAsia="nl-NL"/>
        </w:rPr>
        <w:t>Oosterwijck</w:t>
      </w:r>
      <w:proofErr w:type="spellEnd"/>
      <w:r w:rsidRPr="00290366">
        <w:rPr>
          <w:rFonts w:cstheme="minorHAnsi"/>
          <w:color w:val="000000" w:themeColor="text1"/>
          <w:lang w:eastAsia="nl-NL"/>
        </w:rPr>
        <w:t xml:space="preserve"> et al, J. </w:t>
      </w:r>
      <w:proofErr w:type="spellStart"/>
      <w:r w:rsidRPr="00290366">
        <w:rPr>
          <w:rFonts w:cstheme="minorHAnsi"/>
          <w:color w:val="000000" w:themeColor="text1"/>
          <w:lang w:eastAsia="nl-NL"/>
        </w:rPr>
        <w:t>Clin</w:t>
      </w:r>
      <w:proofErr w:type="spellEnd"/>
      <w:r w:rsidRPr="00290366">
        <w:rPr>
          <w:rFonts w:cstheme="minorHAnsi"/>
          <w:color w:val="000000" w:themeColor="text1"/>
          <w:lang w:eastAsia="nl-NL"/>
        </w:rPr>
        <w:t xml:space="preserve"> J </w:t>
      </w:r>
      <w:proofErr w:type="spellStart"/>
      <w:r w:rsidRPr="00290366">
        <w:rPr>
          <w:rFonts w:cstheme="minorHAnsi"/>
          <w:color w:val="000000" w:themeColor="text1"/>
          <w:lang w:eastAsia="nl-NL"/>
        </w:rPr>
        <w:t>Pain</w:t>
      </w:r>
      <w:proofErr w:type="spellEnd"/>
      <w:r w:rsidRPr="00290366">
        <w:rPr>
          <w:rFonts w:cstheme="minorHAnsi"/>
          <w:color w:val="000000" w:themeColor="text1"/>
          <w:lang w:eastAsia="nl-NL"/>
        </w:rPr>
        <w:t>. 2013 Jan 30</w:t>
      </w:r>
    </w:p>
    <w:p w:rsidR="00DF1665" w:rsidRPr="00290366" w:rsidRDefault="00DF1665" w:rsidP="00DF1665">
      <w:pPr>
        <w:numPr>
          <w:ilvl w:val="0"/>
          <w:numId w:val="2"/>
        </w:numPr>
        <w:rPr>
          <w:rFonts w:cstheme="minorHAnsi"/>
          <w:color w:val="000000" w:themeColor="text1"/>
          <w:lang w:val="en-US" w:eastAsia="nl-NL"/>
        </w:rPr>
      </w:pPr>
      <w:proofErr w:type="spellStart"/>
      <w:r w:rsidRPr="00290366">
        <w:rPr>
          <w:rFonts w:cstheme="minorHAnsi"/>
          <w:color w:val="000000" w:themeColor="text1"/>
          <w:lang w:val="en-US" w:eastAsia="nl-NL"/>
        </w:rPr>
        <w:t>Meeus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in Arch Phys Med Rehab 91, 2010, pp 1153-1159</w:t>
      </w:r>
    </w:p>
    <w:p w:rsidR="00DF1665" w:rsidRPr="00290366" w:rsidRDefault="00DF1665" w:rsidP="00DF1665">
      <w:pPr>
        <w:numPr>
          <w:ilvl w:val="0"/>
          <w:numId w:val="2"/>
        </w:num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color w:val="000000" w:themeColor="text1"/>
          <w:lang w:val="en-GB" w:eastAsia="nl-NL"/>
        </w:rPr>
        <w:t xml:space="preserve">Ryan et al, Man </w:t>
      </w:r>
      <w:proofErr w:type="spellStart"/>
      <w:r w:rsidRPr="00290366">
        <w:rPr>
          <w:rFonts w:cstheme="minorHAnsi"/>
          <w:color w:val="000000" w:themeColor="text1"/>
          <w:lang w:val="en-GB" w:eastAsia="nl-NL"/>
        </w:rPr>
        <w:t>Ther</w:t>
      </w:r>
      <w:proofErr w:type="spellEnd"/>
      <w:r w:rsidRPr="00290366">
        <w:rPr>
          <w:rFonts w:cstheme="minorHAnsi"/>
          <w:color w:val="000000" w:themeColor="text1"/>
          <w:lang w:val="en-GB" w:eastAsia="nl-NL"/>
        </w:rPr>
        <w:t xml:space="preserve"> 15, 2010, pp 382-387</w:t>
      </w:r>
    </w:p>
    <w:p w:rsidR="00DF1665" w:rsidRPr="00290366" w:rsidRDefault="00DF1665" w:rsidP="00DF1665">
      <w:pPr>
        <w:numPr>
          <w:ilvl w:val="0"/>
          <w:numId w:val="2"/>
        </w:numPr>
        <w:rPr>
          <w:rFonts w:cstheme="minorHAnsi"/>
          <w:color w:val="000000" w:themeColor="text1"/>
          <w:lang w:val="en-US" w:eastAsia="nl-NL"/>
        </w:rPr>
      </w:pPr>
      <w:r w:rsidRPr="00290366">
        <w:rPr>
          <w:rFonts w:cstheme="minorHAnsi"/>
          <w:color w:val="000000" w:themeColor="text1"/>
          <w:lang w:val="en-GB" w:eastAsia="nl-NL"/>
        </w:rPr>
        <w:t>Moseley in European Journal of Pain 8, 2004, pp 39-45</w:t>
      </w:r>
    </w:p>
    <w:p w:rsidR="00DF1665" w:rsidRPr="00290366" w:rsidRDefault="00DF1665" w:rsidP="00DF1665">
      <w:pPr>
        <w:numPr>
          <w:ilvl w:val="0"/>
          <w:numId w:val="2"/>
        </w:numPr>
        <w:rPr>
          <w:rFonts w:cstheme="minorHAnsi"/>
          <w:color w:val="000000" w:themeColor="text1"/>
          <w:lang w:val="en-US" w:eastAsia="nl-NL"/>
        </w:rPr>
      </w:pPr>
      <w:r w:rsidRPr="00290366">
        <w:rPr>
          <w:rFonts w:cstheme="minorHAnsi"/>
          <w:color w:val="000000" w:themeColor="text1"/>
          <w:lang w:val="en-GB" w:eastAsia="nl-NL"/>
        </w:rPr>
        <w:t xml:space="preserve">Moseley in Man </w:t>
      </w:r>
      <w:proofErr w:type="spellStart"/>
      <w:r w:rsidRPr="00290366">
        <w:rPr>
          <w:rFonts w:cstheme="minorHAnsi"/>
          <w:color w:val="000000" w:themeColor="text1"/>
          <w:lang w:val="en-US" w:eastAsia="nl-NL"/>
        </w:rPr>
        <w:t>Ther</w:t>
      </w:r>
      <w:proofErr w:type="spellEnd"/>
      <w:r w:rsidRPr="00290366">
        <w:rPr>
          <w:rFonts w:cstheme="minorHAnsi"/>
          <w:color w:val="000000" w:themeColor="text1"/>
          <w:lang w:val="en-US" w:eastAsia="nl-NL"/>
        </w:rPr>
        <w:t xml:space="preserve"> 11, 2003, pp 88-94</w:t>
      </w:r>
    </w:p>
    <w:p w:rsidR="00DF1665" w:rsidRPr="00290366" w:rsidRDefault="00DF1665" w:rsidP="00DF1665">
      <w:pPr>
        <w:rPr>
          <w:rFonts w:cstheme="minorHAnsi"/>
          <w:color w:val="000000" w:themeColor="text1"/>
          <w:lang w:val="en-US" w:eastAsia="nl-NL"/>
        </w:rPr>
      </w:pPr>
    </w:p>
    <w:p w:rsidR="00DF1665" w:rsidRPr="00290366" w:rsidRDefault="00DF1665" w:rsidP="00DF1665">
      <w:pPr>
        <w:rPr>
          <w:rFonts w:cstheme="minorHAnsi"/>
          <w:color w:val="000000" w:themeColor="text1"/>
          <w:lang w:val="en-US" w:eastAsia="nl-NL"/>
        </w:rPr>
      </w:pPr>
    </w:p>
    <w:p w:rsidR="00DF1665" w:rsidRPr="00290366" w:rsidRDefault="00DF1665" w:rsidP="00DF1665">
      <w:pPr>
        <w:rPr>
          <w:rFonts w:cstheme="minorHAnsi"/>
          <w:b/>
          <w:color w:val="000000" w:themeColor="text1"/>
          <w:lang w:eastAsia="nl-NL"/>
        </w:rPr>
      </w:pPr>
      <w:r w:rsidRPr="00290366">
        <w:rPr>
          <w:rFonts w:cstheme="minorHAnsi"/>
          <w:b/>
          <w:color w:val="000000" w:themeColor="text1"/>
          <w:lang w:eastAsia="nl-NL"/>
        </w:rPr>
        <w:t>Ontregelde stress-respons (</w:t>
      </w:r>
      <w:proofErr w:type="gramStart"/>
      <w:r w:rsidRPr="00290366">
        <w:rPr>
          <w:rFonts w:cstheme="minorHAnsi"/>
          <w:b/>
          <w:color w:val="000000" w:themeColor="text1"/>
          <w:lang w:eastAsia="nl-NL"/>
        </w:rPr>
        <w:t>predisponerend /</w:t>
      </w:r>
      <w:proofErr w:type="gramEnd"/>
      <w:r w:rsidRPr="00290366">
        <w:rPr>
          <w:rFonts w:cstheme="minorHAnsi"/>
          <w:b/>
          <w:color w:val="000000" w:themeColor="text1"/>
          <w:lang w:eastAsia="nl-NL"/>
        </w:rPr>
        <w:t xml:space="preserve"> uitlokkend / </w:t>
      </w:r>
      <w:proofErr w:type="spellStart"/>
      <w:r w:rsidRPr="00290366">
        <w:rPr>
          <w:rFonts w:cstheme="minorHAnsi"/>
          <w:b/>
          <w:color w:val="000000" w:themeColor="text1"/>
          <w:lang w:eastAsia="nl-NL"/>
        </w:rPr>
        <w:t>instandhoudend</w:t>
      </w:r>
      <w:proofErr w:type="spellEnd"/>
      <w:r w:rsidRPr="00290366">
        <w:rPr>
          <w:rFonts w:cstheme="minorHAnsi"/>
          <w:b/>
          <w:color w:val="000000" w:themeColor="text1"/>
          <w:lang w:eastAsia="nl-NL"/>
        </w:rPr>
        <w:t>):</w:t>
      </w:r>
    </w:p>
    <w:p w:rsidR="00DF1665" w:rsidRPr="00290366" w:rsidRDefault="00DF1665" w:rsidP="00DF1665">
      <w:pPr>
        <w:rPr>
          <w:rFonts w:cstheme="minorHAnsi"/>
          <w:color w:val="000000" w:themeColor="text1"/>
          <w:lang w:eastAsia="nl-NL"/>
        </w:rPr>
      </w:pPr>
      <w:r w:rsidRPr="00290366">
        <w:rPr>
          <w:rFonts w:cstheme="minorHAnsi"/>
          <w:color w:val="000000" w:themeColor="text1"/>
          <w:lang w:eastAsia="nl-NL"/>
        </w:rPr>
        <w:t>o.a.</w:t>
      </w:r>
    </w:p>
    <w:p w:rsidR="00DF1665" w:rsidRPr="00290366" w:rsidRDefault="00DF1665" w:rsidP="00DF1665">
      <w:pPr>
        <w:rPr>
          <w:rFonts w:cstheme="minorHAnsi"/>
          <w:iCs/>
          <w:color w:val="000000" w:themeColor="text1"/>
          <w:lang w:eastAsia="nl-NL"/>
        </w:rPr>
      </w:pPr>
    </w:p>
    <w:p w:rsidR="00DF1665" w:rsidRPr="00DF1665" w:rsidRDefault="00DF1665" w:rsidP="00DF1665">
      <w:pPr>
        <w:pStyle w:val="Lijstalinea"/>
        <w:numPr>
          <w:ilvl w:val="0"/>
          <w:numId w:val="3"/>
        </w:numPr>
        <w:rPr>
          <w:rFonts w:cstheme="minorHAnsi"/>
          <w:iCs/>
          <w:color w:val="000000" w:themeColor="text1"/>
          <w:lang w:val="en-US" w:eastAsia="nl-NL"/>
        </w:rPr>
      </w:pPr>
      <w:r w:rsidRPr="00290366">
        <w:rPr>
          <w:rFonts w:cstheme="minorHAnsi"/>
          <w:iCs/>
          <w:color w:val="000000" w:themeColor="text1"/>
          <w:lang w:val="en-US" w:eastAsia="nl-NL"/>
        </w:rPr>
        <w:t>Customizing treatment of chronic fatigue syndrome and fibromyalgia: the role of perpetuating factors.</w:t>
      </w:r>
      <w:r>
        <w:rPr>
          <w:rFonts w:cstheme="minorHAnsi"/>
          <w:iCs/>
          <w:color w:val="000000" w:themeColor="text1"/>
          <w:lang w:val="en-US" w:eastAsia="nl-NL"/>
        </w:rPr>
        <w:t xml:space="preserve"> V</w:t>
      </w:r>
      <w:r w:rsidRPr="00DF1665">
        <w:rPr>
          <w:rFonts w:cstheme="minorHAnsi"/>
          <w:iCs/>
          <w:color w:val="000000" w:themeColor="text1"/>
          <w:lang w:val="en-US" w:eastAsia="nl-NL"/>
        </w:rPr>
        <w:t xml:space="preserve">an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Houdenhove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B,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Luyten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</w:t>
      </w:r>
      <w:proofErr w:type="spellStart"/>
      <w:proofErr w:type="gramStart"/>
      <w:r w:rsidRPr="00DF1665">
        <w:rPr>
          <w:rFonts w:cstheme="minorHAnsi"/>
          <w:iCs/>
          <w:color w:val="000000" w:themeColor="text1"/>
          <w:lang w:val="en-US" w:eastAsia="nl-NL"/>
        </w:rPr>
        <w:t>P.Psychosomatics</w:t>
      </w:r>
      <w:proofErr w:type="spellEnd"/>
      <w:proofErr w:type="gram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. 2008 Nov-Dec;49(6):470-7.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doi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: 10.1176/appi.psy.49.6.470. </w:t>
      </w:r>
      <w:r w:rsidRPr="00DF1665">
        <w:rPr>
          <w:rFonts w:cstheme="minorHAnsi"/>
          <w:iCs/>
          <w:color w:val="000000" w:themeColor="text1"/>
          <w:lang w:eastAsia="nl-NL"/>
        </w:rPr>
        <w:t xml:space="preserve">Review. Erratum in: </w:t>
      </w:r>
      <w:proofErr w:type="spellStart"/>
      <w:r w:rsidRPr="00DF1665">
        <w:rPr>
          <w:rFonts w:cstheme="minorHAnsi"/>
          <w:iCs/>
          <w:color w:val="000000" w:themeColor="text1"/>
          <w:lang w:eastAsia="nl-NL"/>
        </w:rPr>
        <w:t>Psychosomatics</w:t>
      </w:r>
      <w:proofErr w:type="spellEnd"/>
      <w:r w:rsidRPr="00DF1665">
        <w:rPr>
          <w:rFonts w:cstheme="minorHAnsi"/>
          <w:iCs/>
          <w:color w:val="000000" w:themeColor="text1"/>
          <w:lang w:eastAsia="nl-NL"/>
        </w:rPr>
        <w:t>. 2009 Mar-Apr;50(2):176.</w:t>
      </w:r>
    </w:p>
    <w:p w:rsidR="00DF1665" w:rsidRPr="00290366" w:rsidRDefault="00DF1665" w:rsidP="00DF1665">
      <w:pPr>
        <w:rPr>
          <w:rFonts w:cstheme="minorHAnsi"/>
          <w:iCs/>
          <w:color w:val="000000" w:themeColor="text1"/>
          <w:lang w:eastAsia="nl-NL"/>
        </w:rPr>
      </w:pPr>
    </w:p>
    <w:p w:rsidR="00DF1665" w:rsidRPr="00DF1665" w:rsidRDefault="00DF1665" w:rsidP="00DF1665">
      <w:pPr>
        <w:pStyle w:val="Lijstalinea"/>
        <w:numPr>
          <w:ilvl w:val="0"/>
          <w:numId w:val="3"/>
        </w:numPr>
        <w:rPr>
          <w:rFonts w:cstheme="minorHAnsi"/>
          <w:iCs/>
          <w:color w:val="000000" w:themeColor="text1"/>
          <w:lang w:val="en-US" w:eastAsia="nl-NL"/>
        </w:rPr>
      </w:pPr>
      <w:r w:rsidRPr="00290366">
        <w:rPr>
          <w:rFonts w:cstheme="minorHAnsi"/>
          <w:iCs/>
          <w:color w:val="000000" w:themeColor="text1"/>
          <w:lang w:val="en-US" w:eastAsia="nl-NL"/>
        </w:rPr>
        <w:t xml:space="preserve">The role of life stress in </w:t>
      </w:r>
      <w:proofErr w:type="spellStart"/>
      <w:proofErr w:type="gramStart"/>
      <w:r w:rsidRPr="00290366">
        <w:rPr>
          <w:rFonts w:cstheme="minorHAnsi"/>
          <w:iCs/>
          <w:color w:val="000000" w:themeColor="text1"/>
          <w:lang w:val="en-US" w:eastAsia="nl-NL"/>
        </w:rPr>
        <w:t>fibromyalgia.</w:t>
      </w:r>
      <w:r w:rsidRPr="00DF1665">
        <w:rPr>
          <w:rFonts w:cstheme="minorHAnsi"/>
          <w:iCs/>
          <w:color w:val="000000" w:themeColor="text1"/>
          <w:lang w:val="en-US" w:eastAsia="nl-NL"/>
        </w:rPr>
        <w:t>Van</w:t>
      </w:r>
      <w:proofErr w:type="spellEnd"/>
      <w:proofErr w:type="gram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Houdenhove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B,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Egle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U,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Luyten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P.Curr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Rheumatol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 Rep. 2005 Oct;7(5):365-70. Review.</w:t>
      </w:r>
    </w:p>
    <w:p w:rsidR="00DF1665" w:rsidRPr="00290366" w:rsidRDefault="00DF1665" w:rsidP="00DF1665">
      <w:pPr>
        <w:rPr>
          <w:rFonts w:cstheme="minorHAnsi"/>
          <w:iCs/>
          <w:color w:val="000000" w:themeColor="text1"/>
          <w:lang w:val="en-US" w:eastAsia="nl-NL"/>
        </w:rPr>
      </w:pPr>
    </w:p>
    <w:p w:rsidR="00DF1665" w:rsidRPr="00DF1665" w:rsidRDefault="00DF1665" w:rsidP="00DF1665">
      <w:pPr>
        <w:pStyle w:val="Lijstalinea"/>
        <w:numPr>
          <w:ilvl w:val="0"/>
          <w:numId w:val="3"/>
        </w:numPr>
        <w:rPr>
          <w:rFonts w:cstheme="minorHAnsi"/>
          <w:iCs/>
          <w:color w:val="000000" w:themeColor="text1"/>
          <w:lang w:val="en-US" w:eastAsia="nl-NL"/>
        </w:rPr>
      </w:pPr>
      <w:r w:rsidRPr="00290366">
        <w:rPr>
          <w:rFonts w:cstheme="minorHAnsi"/>
          <w:iCs/>
          <w:color w:val="000000" w:themeColor="text1"/>
          <w:lang w:val="en-US" w:eastAsia="nl-NL"/>
        </w:rPr>
        <w:t>Does hypothalamic-pituitary-adrenal axis hypofunction in chronic fatigue syndrome reflect a 'crash' in the stress system?</w:t>
      </w:r>
      <w:r>
        <w:rPr>
          <w:rFonts w:cstheme="minorHAnsi"/>
          <w:iCs/>
          <w:color w:val="000000" w:themeColor="text1"/>
          <w:lang w:val="en-US" w:eastAsia="nl-NL"/>
        </w:rPr>
        <w:t xml:space="preserve"> </w:t>
      </w:r>
      <w:r w:rsidRPr="00DF1665">
        <w:rPr>
          <w:rFonts w:cstheme="minorHAnsi"/>
          <w:iCs/>
          <w:color w:val="000000" w:themeColor="text1"/>
          <w:lang w:eastAsia="nl-NL"/>
        </w:rPr>
        <w:t>Van Houdenhove B, Van Den Eede F, Luyten P.</w:t>
      </w:r>
      <w:r>
        <w:rPr>
          <w:rFonts w:cstheme="minorHAnsi"/>
          <w:iCs/>
          <w:color w:val="000000" w:themeColor="text1"/>
          <w:lang w:eastAsia="nl-NL"/>
        </w:rPr>
        <w:t xml:space="preserve"> </w:t>
      </w:r>
      <w:proofErr w:type="spellStart"/>
      <w:r w:rsidRPr="00DF1665">
        <w:rPr>
          <w:rFonts w:cstheme="minorHAnsi"/>
          <w:iCs/>
          <w:color w:val="000000" w:themeColor="text1"/>
          <w:lang w:eastAsia="nl-NL"/>
        </w:rPr>
        <w:t>Med</w:t>
      </w:r>
      <w:proofErr w:type="spellEnd"/>
      <w:r w:rsidRPr="00DF1665">
        <w:rPr>
          <w:rFonts w:cstheme="minorHAnsi"/>
          <w:iCs/>
          <w:color w:val="000000" w:themeColor="text1"/>
          <w:lang w:eastAsia="nl-NL"/>
        </w:rPr>
        <w:t xml:space="preserve"> Hypotheses. </w:t>
      </w:r>
      <w:r w:rsidRPr="00DF1665">
        <w:rPr>
          <w:rFonts w:cstheme="minorHAnsi"/>
          <w:iCs/>
          <w:color w:val="000000" w:themeColor="text1"/>
          <w:lang w:val="en-US" w:eastAsia="nl-NL"/>
        </w:rPr>
        <w:t xml:space="preserve">2009 Jun;72(6):701-5. </w:t>
      </w:r>
      <w:proofErr w:type="spellStart"/>
      <w:r w:rsidRPr="00DF1665">
        <w:rPr>
          <w:rFonts w:cstheme="minorHAnsi"/>
          <w:iCs/>
          <w:color w:val="000000" w:themeColor="text1"/>
          <w:lang w:val="en-US" w:eastAsia="nl-NL"/>
        </w:rPr>
        <w:t>doi</w:t>
      </w:r>
      <w:proofErr w:type="spellEnd"/>
      <w:r w:rsidRPr="00DF1665">
        <w:rPr>
          <w:rFonts w:cstheme="minorHAnsi"/>
          <w:iCs/>
          <w:color w:val="000000" w:themeColor="text1"/>
          <w:lang w:val="en-US" w:eastAsia="nl-NL"/>
        </w:rPr>
        <w:t xml:space="preserve">: 10.1016/j.mehy.2008.11.044. </w:t>
      </w:r>
      <w:proofErr w:type="spellStart"/>
      <w:r w:rsidRPr="00DF1665">
        <w:rPr>
          <w:rFonts w:cstheme="minorHAnsi"/>
          <w:iCs/>
          <w:color w:val="000000" w:themeColor="text1"/>
          <w:lang w:eastAsia="nl-NL"/>
        </w:rPr>
        <w:t>Epub</w:t>
      </w:r>
      <w:proofErr w:type="spellEnd"/>
      <w:r w:rsidRPr="00DF1665">
        <w:rPr>
          <w:rFonts w:cstheme="minorHAnsi"/>
          <w:iCs/>
          <w:color w:val="000000" w:themeColor="text1"/>
          <w:lang w:eastAsia="nl-NL"/>
        </w:rPr>
        <w:t xml:space="preserve"> 2009 Feb 23.</w:t>
      </w:r>
    </w:p>
    <w:p w:rsidR="00DF1665" w:rsidRPr="00290366" w:rsidRDefault="00DF1665" w:rsidP="00DF1665">
      <w:pPr>
        <w:rPr>
          <w:rFonts w:cstheme="minorHAnsi"/>
          <w:i/>
          <w:iCs/>
          <w:color w:val="000000" w:themeColor="text1"/>
          <w:lang w:eastAsia="nl-NL"/>
        </w:rPr>
      </w:pPr>
    </w:p>
    <w:p w:rsidR="00DF1665" w:rsidRPr="00290366" w:rsidRDefault="00DF1665" w:rsidP="00DF1665">
      <w:pPr>
        <w:rPr>
          <w:rFonts w:cstheme="minorHAnsi"/>
          <w:b/>
          <w:iCs/>
          <w:color w:val="000000" w:themeColor="text1"/>
          <w:lang w:eastAsia="nl-NL"/>
        </w:rPr>
      </w:pPr>
      <w:r w:rsidRPr="00290366">
        <w:rPr>
          <w:rFonts w:cstheme="minorHAnsi"/>
          <w:b/>
          <w:iCs/>
          <w:color w:val="000000" w:themeColor="text1"/>
          <w:lang w:eastAsia="nl-NL"/>
        </w:rPr>
        <w:t xml:space="preserve">Nieuwe gevolgenmodel: </w:t>
      </w:r>
    </w:p>
    <w:p w:rsidR="00DF1665" w:rsidRPr="00290366" w:rsidRDefault="00DF1665" w:rsidP="00DF1665">
      <w:pPr>
        <w:rPr>
          <w:rFonts w:cstheme="minorHAnsi"/>
          <w:iCs/>
          <w:color w:val="000000" w:themeColor="text1"/>
          <w:lang w:eastAsia="nl-NL"/>
        </w:rPr>
      </w:pPr>
      <w:r w:rsidRPr="00290366">
        <w:rPr>
          <w:rFonts w:cstheme="minorHAnsi"/>
          <w:iCs/>
          <w:color w:val="000000" w:themeColor="text1"/>
          <w:lang w:eastAsia="nl-NL"/>
        </w:rPr>
        <w:t xml:space="preserve">Van Rood &amp; De Roos 2013, </w:t>
      </w:r>
      <w:proofErr w:type="spellStart"/>
      <w:r w:rsidRPr="00290366">
        <w:rPr>
          <w:rFonts w:cstheme="minorHAnsi"/>
          <w:iCs/>
          <w:color w:val="000000" w:themeColor="text1"/>
          <w:lang w:eastAsia="nl-NL"/>
        </w:rPr>
        <w:t>rev</w:t>
      </w:r>
      <w:proofErr w:type="spellEnd"/>
      <w:r w:rsidRPr="00290366">
        <w:rPr>
          <w:rFonts w:cstheme="minorHAnsi"/>
          <w:iCs/>
          <w:color w:val="000000" w:themeColor="text1"/>
          <w:lang w:eastAsia="nl-NL"/>
        </w:rPr>
        <w:t xml:space="preserve">. 2017 </w:t>
      </w:r>
    </w:p>
    <w:p w:rsidR="00DF1665" w:rsidRPr="00290366" w:rsidRDefault="00DF1665" w:rsidP="00DF1665">
      <w:pPr>
        <w:rPr>
          <w:rFonts w:eastAsia="Times New Roman" w:cstheme="minorHAnsi"/>
          <w:i/>
          <w:iCs/>
          <w:lang w:eastAsia="nl-NL"/>
        </w:rPr>
      </w:pPr>
      <w:r w:rsidRPr="00290366">
        <w:rPr>
          <w:rFonts w:eastAsia="Times New Roman" w:cstheme="minorHAnsi"/>
          <w:i/>
          <w:iCs/>
          <w:lang w:eastAsia="nl-NL"/>
        </w:rPr>
        <w:t>Diagnostiek volgens het gevolgenmodel; methode voor het opstellen van een gepersonaliseerd behandelplan voor patiënten met somatisch onvoldoende verklaarde lichamelijke klachten</w:t>
      </w:r>
    </w:p>
    <w:p w:rsidR="00DF1665" w:rsidRDefault="00DF1665" w:rsidP="00DF1665"/>
    <w:sectPr w:rsidR="00DF1665" w:rsidSect="00461B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53FA"/>
    <w:multiLevelType w:val="hybridMultilevel"/>
    <w:tmpl w:val="E1BA4978"/>
    <w:lvl w:ilvl="0" w:tplc="FBA0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C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4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A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8041BB"/>
    <w:multiLevelType w:val="hybridMultilevel"/>
    <w:tmpl w:val="A8183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64B9"/>
    <w:multiLevelType w:val="hybridMultilevel"/>
    <w:tmpl w:val="91A02ECC"/>
    <w:lvl w:ilvl="0" w:tplc="8E28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E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6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6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C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8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65"/>
    <w:rsid w:val="00263D45"/>
    <w:rsid w:val="003A2028"/>
    <w:rsid w:val="003A28C2"/>
    <w:rsid w:val="00461B5C"/>
    <w:rsid w:val="00627BBE"/>
    <w:rsid w:val="006B2A32"/>
    <w:rsid w:val="006E7AF3"/>
    <w:rsid w:val="00795F83"/>
    <w:rsid w:val="00907C7A"/>
    <w:rsid w:val="00D16F13"/>
    <w:rsid w:val="00D409E5"/>
    <w:rsid w:val="00D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37E7"/>
  <w15:chartTrackingRefBased/>
  <w15:docId w15:val="{D127090D-F63B-FB4B-AC1A-5FD9F24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2019-05-02T08:17:00Z</dcterms:created>
  <dcterms:modified xsi:type="dcterms:W3CDTF">2019-05-02T08:19:00Z</dcterms:modified>
</cp:coreProperties>
</file>